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CellMar>
          <w:left w:w="0" w:type="dxa"/>
          <w:right w:w="0" w:type="dxa"/>
        </w:tblCellMar>
        <w:tblLook w:firstRow="1" w:lastRow="0" w:firstColumn="1" w:lastColumn="0" w:noHBand="0" w:noVBand="1" w:val="04A0"/>
      </w:tblPr>
      <w:tblGrid>
        <w:gridCol w:w="2829"/>
      </w:tblGrid>
      <w:tr w:rsidRPr="006A1BF5" w:rsidR="006A1BF5" w:rsidTr="008D61D7">
        <w:tc>
          <w:tcPr>
            <w:tcW w:w="2829" w:type="dxa"/>
            <w:shd w:val="clear" w:color="auto" w:fill="auto"/>
          </w:tcPr>
          <w:p w:rsidRPr="006A1BF5" w:rsidR="006A1BF5" w:rsidP="00B40B72" w:rsidRDefault="00C1341F">
            <w:pPr>
              <w:jc w:val="center"/>
              <w:rPr>
                <w:szCs w:val="24"/>
              </w:rPr>
            </w:pPr>
            <w:bookmarkStart w:name="_GoBack" w:id="0"/>
            <w:bookmarkEnd w:id="0"/>
            <w:r>
              <w:rPr>
                <w:noProof/>
                <w:szCs w:val="24"/>
                <w:lang w:eastAsia="hr-HR"/>
              </w:rPr>
              <w:drawing>
                <wp:inline distT="0" distB="0" distL="0" distR="0">
                  <wp:extent cx="476250" cy="609600"/>
                  <wp:effectExtent l="0" t="0" r="0" b="0"/>
                  <wp:docPr id="1" name="Slika 1" descr="GRB-RH-png"/>
                  <wp:cNvGraphicFramePr>
                    <a:graphicFrameLocks noChangeAspect="true"/>
                  </wp:cNvGraphicFramePr>
                  <a:graphic>
                    <a:graphicData uri="http://schemas.openxmlformats.org/drawingml/2006/picture">
                      <pic:pic>
                        <pic:nvPicPr>
                          <pic:cNvPr id="0" name="Picture 1" descr="GRB-RH-png"/>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250" cy="609600"/>
                          </a:xfrm>
                          <a:prstGeom prst="rect">
                            <a:avLst/>
                          </a:prstGeom>
                          <a:noFill/>
                          <a:ln>
                            <a:noFill/>
                          </a:ln>
                        </pic:spPr>
                      </pic:pic>
                    </a:graphicData>
                  </a:graphic>
                </wp:inline>
              </w:drawing>
            </w:r>
          </w:p>
          <w:p w:rsidRPr="006A1BF5" w:rsidR="006A1BF5" w:rsidP="00B40B72" w:rsidRDefault="006A1BF5">
            <w:pPr>
              <w:jc w:val="center"/>
              <w:rPr>
                <w:szCs w:val="24"/>
              </w:rPr>
            </w:pPr>
            <w:r w:rsidRPr="006A1BF5">
              <w:rPr>
                <w:szCs w:val="24"/>
              </w:rPr>
              <w:t>Republika Hrvatska</w:t>
            </w:r>
          </w:p>
          <w:p w:rsidRPr="006A1BF5" w:rsidR="006A1BF5" w:rsidP="00B40B72" w:rsidRDefault="00C1341F">
            <w:pPr>
              <w:jc w:val="center"/>
              <w:rPr>
                <w:szCs w:val="24"/>
              </w:rPr>
            </w:pPr>
            <w:r>
              <w:rPr>
                <w:szCs w:val="24"/>
              </w:rPr>
              <w:t>Općinski</w:t>
            </w:r>
            <w:r w:rsidR="008D61D7">
              <w:rPr>
                <w:szCs w:val="24"/>
              </w:rPr>
              <w:t xml:space="preserve"> sud u Varaždinu</w:t>
            </w:r>
          </w:p>
          <w:p w:rsidRPr="006A1BF5" w:rsidR="006A1BF5" w:rsidP="00B40B72" w:rsidRDefault="00B27134">
            <w:pPr>
              <w:jc w:val="center"/>
              <w:rPr>
                <w:szCs w:val="24"/>
              </w:rPr>
            </w:pPr>
            <w:r>
              <w:rPr>
                <w:szCs w:val="24"/>
              </w:rPr>
              <w:t>Varaždin, Braće Radić 2</w:t>
            </w:r>
          </w:p>
        </w:tc>
      </w:tr>
    </w:tbl>
    <w:p w:rsidRPr="006B0053" w:rsidR="006B0053" w:rsidP="00B40B72" w:rsidRDefault="006B0053" w14:paraId="e128260" w14:textId="e128260">
      <w:pPr>
        <w:jc w:val="left"/>
        <w15:collapsed w:val="false"/>
        <w:rPr>
          <w:rFonts w:eastAsiaTheme="minorHAnsi"/>
          <w:szCs w:val="24"/>
        </w:rPr>
      </w:pPr>
    </w:p>
    <w:p w:rsidRPr="006B0053" w:rsidR="006B0053" w:rsidP="00B40B72" w:rsidRDefault="006B0053">
      <w:pPr>
        <w:jc w:val="left"/>
        <w:rPr>
          <w:rFonts w:eastAsiaTheme="minorHAnsi"/>
          <w:szCs w:val="24"/>
        </w:rPr>
      </w:pPr>
      <w:r w:rsidRPr="006B0053">
        <w:rPr>
          <w:rFonts w:eastAsiaTheme="minorHAnsi"/>
          <w:szCs w:val="24"/>
        </w:rPr>
        <w:t xml:space="preserve">            </w:t>
      </w:r>
      <w:r w:rsidRPr="006B0053">
        <w:rPr>
          <w:rFonts w:asciiTheme="minorHAnsi" w:hAnsiTheme="minorHAnsi" w:eastAsiaTheme="minorHAnsi" w:cstheme="minorBidi"/>
          <w:sz w:val="22"/>
        </w:rPr>
        <w:t xml:space="preserve">                                                   </w:t>
      </w:r>
      <w:r w:rsidRPr="006B0053">
        <w:rPr>
          <w:rFonts w:asciiTheme="minorHAnsi" w:hAnsiTheme="minorHAnsi" w:eastAsiaTheme="minorHAnsi" w:cstheme="minorBidi"/>
          <w:sz w:val="22"/>
        </w:rPr>
        <w:tab/>
      </w:r>
      <w:r w:rsidRPr="006B0053">
        <w:rPr>
          <w:rFonts w:asciiTheme="minorHAnsi" w:hAnsiTheme="minorHAnsi" w:eastAsiaTheme="minorHAnsi" w:cstheme="minorBidi"/>
          <w:sz w:val="22"/>
        </w:rPr>
        <w:tab/>
        <w:t xml:space="preserve">       </w:t>
      </w:r>
      <w:r w:rsidR="00B40B72">
        <w:rPr>
          <w:rFonts w:asciiTheme="minorHAnsi" w:hAnsiTheme="minorHAnsi" w:eastAsiaTheme="minorHAnsi" w:cstheme="minorBidi"/>
          <w:sz w:val="22"/>
        </w:rPr>
        <w:t xml:space="preserve">                        </w:t>
      </w:r>
      <w:r w:rsidR="00B40B72">
        <w:rPr>
          <w:rFonts w:eastAsiaTheme="minorHAnsi"/>
          <w:szCs w:val="24"/>
        </w:rPr>
        <w:t>Poslovni b</w:t>
      </w:r>
      <w:r w:rsidRPr="006B0053">
        <w:rPr>
          <w:rFonts w:eastAsiaTheme="minorHAnsi"/>
          <w:szCs w:val="24"/>
        </w:rPr>
        <w:t>roj: 7 Sp-20/16-32</w:t>
      </w:r>
    </w:p>
    <w:p w:rsidR="006B0053" w:rsidP="00B40B72" w:rsidRDefault="006B0053">
      <w:pPr>
        <w:spacing w:line="276" w:lineRule="auto"/>
        <w:jc w:val="left"/>
        <w:rPr>
          <w:rFonts w:eastAsiaTheme="minorHAnsi"/>
          <w:szCs w:val="24"/>
        </w:rPr>
      </w:pPr>
      <w:r w:rsidRPr="006B0053">
        <w:rPr>
          <w:rFonts w:eastAsiaTheme="minorHAnsi"/>
          <w:szCs w:val="24"/>
        </w:rPr>
        <w:t xml:space="preserve">         </w:t>
      </w:r>
    </w:p>
    <w:p w:rsidR="00B40B72" w:rsidP="00B40B72" w:rsidRDefault="00B40B72">
      <w:pPr>
        <w:spacing w:line="276" w:lineRule="auto"/>
        <w:jc w:val="left"/>
        <w:rPr>
          <w:rFonts w:eastAsiaTheme="minorHAnsi"/>
          <w:szCs w:val="24"/>
        </w:rPr>
      </w:pPr>
    </w:p>
    <w:p w:rsidRPr="006B0053" w:rsidR="00B40B72" w:rsidP="00B40B72" w:rsidRDefault="00B40B72">
      <w:pPr>
        <w:spacing w:line="276" w:lineRule="auto"/>
        <w:jc w:val="center"/>
        <w:rPr>
          <w:rFonts w:eastAsiaTheme="minorHAnsi"/>
          <w:szCs w:val="24"/>
        </w:rPr>
      </w:pPr>
      <w:r>
        <w:rPr>
          <w:rFonts w:eastAsiaTheme="minorHAnsi"/>
          <w:szCs w:val="24"/>
        </w:rPr>
        <w:t>R E P U B L I K A    H R V A T S K A</w:t>
      </w:r>
    </w:p>
    <w:p w:rsidR="00B40B72" w:rsidP="00B40B72" w:rsidRDefault="00B40B72">
      <w:pPr>
        <w:spacing w:line="276" w:lineRule="auto"/>
        <w:jc w:val="center"/>
        <w:rPr>
          <w:rFonts w:eastAsiaTheme="minorHAnsi"/>
          <w:szCs w:val="24"/>
        </w:rPr>
      </w:pPr>
    </w:p>
    <w:p w:rsidRPr="006B0053" w:rsidR="006B0053" w:rsidP="00B40B72" w:rsidRDefault="006B0053">
      <w:pPr>
        <w:spacing w:line="276" w:lineRule="auto"/>
        <w:jc w:val="center"/>
        <w:rPr>
          <w:rFonts w:eastAsiaTheme="minorHAnsi"/>
          <w:szCs w:val="24"/>
        </w:rPr>
      </w:pPr>
      <w:r w:rsidRPr="006B0053">
        <w:rPr>
          <w:rFonts w:eastAsiaTheme="minorHAnsi"/>
          <w:szCs w:val="24"/>
        </w:rPr>
        <w:t>R J E Š E N J E</w:t>
      </w:r>
    </w:p>
    <w:p w:rsidR="006B0053" w:rsidP="00B40B72" w:rsidRDefault="006B0053">
      <w:pPr>
        <w:spacing w:line="276" w:lineRule="auto"/>
        <w:jc w:val="left"/>
        <w:rPr>
          <w:rFonts w:eastAsiaTheme="minorHAnsi"/>
          <w:szCs w:val="24"/>
        </w:rPr>
      </w:pPr>
    </w:p>
    <w:p w:rsidRPr="006B0053" w:rsidR="00B40B72" w:rsidP="00B40B72" w:rsidRDefault="00B40B72">
      <w:pPr>
        <w:spacing w:line="276" w:lineRule="auto"/>
        <w:jc w:val="left"/>
        <w:rPr>
          <w:rFonts w:eastAsiaTheme="minorHAnsi"/>
          <w:szCs w:val="24"/>
        </w:rPr>
      </w:pPr>
    </w:p>
    <w:p w:rsidR="006B0053" w:rsidP="00B40B72" w:rsidRDefault="006B0053">
      <w:pPr>
        <w:spacing w:line="276" w:lineRule="auto"/>
        <w:ind w:firstLine="708"/>
        <w:rPr>
          <w:rFonts w:eastAsiaTheme="minorHAnsi"/>
          <w:szCs w:val="24"/>
        </w:rPr>
      </w:pPr>
      <w:r w:rsidRPr="006B0053">
        <w:rPr>
          <w:rFonts w:eastAsiaTheme="minorHAnsi"/>
          <w:szCs w:val="24"/>
        </w:rPr>
        <w:t>Općinski sud u Varaždinu po sutkinji toga suda Ana-Mariji Murić u stečajnom postupku povodom prijedloga potrošača Dubravke Sabolčki, OIB: 45399923066, Slavenska 24, Varažin, za o</w:t>
      </w:r>
      <w:r w:rsidR="00B40B72">
        <w:rPr>
          <w:rFonts w:eastAsiaTheme="minorHAnsi"/>
          <w:szCs w:val="24"/>
        </w:rPr>
        <w:t>tvaranje stečajnog postupka,  21. listopada</w:t>
      </w:r>
      <w:r w:rsidRPr="006B0053">
        <w:rPr>
          <w:rFonts w:eastAsiaTheme="minorHAnsi"/>
          <w:szCs w:val="24"/>
        </w:rPr>
        <w:t xml:space="preserve"> 2019.</w:t>
      </w:r>
      <w:r w:rsidR="00B40B72">
        <w:rPr>
          <w:rFonts w:eastAsiaTheme="minorHAnsi"/>
          <w:szCs w:val="24"/>
        </w:rPr>
        <w:t>,</w:t>
      </w:r>
    </w:p>
    <w:p w:rsidRPr="006B0053" w:rsidR="00B40B72" w:rsidP="00B40B72" w:rsidRDefault="00B40B72">
      <w:pPr>
        <w:spacing w:line="276" w:lineRule="auto"/>
        <w:ind w:firstLine="708"/>
        <w:rPr>
          <w:rFonts w:eastAsiaTheme="minorHAnsi"/>
          <w:szCs w:val="24"/>
        </w:rPr>
      </w:pPr>
    </w:p>
    <w:p w:rsidRPr="006B0053" w:rsidR="006B0053" w:rsidP="00B40B72" w:rsidRDefault="006B0053">
      <w:pPr>
        <w:spacing w:line="276" w:lineRule="auto"/>
        <w:jc w:val="center"/>
        <w:rPr>
          <w:rFonts w:eastAsiaTheme="minorHAnsi"/>
          <w:szCs w:val="24"/>
        </w:rPr>
      </w:pPr>
      <w:r w:rsidRPr="006B0053">
        <w:rPr>
          <w:rFonts w:eastAsiaTheme="minorHAnsi"/>
          <w:szCs w:val="24"/>
        </w:rPr>
        <w:t>r i j e š i o   j e</w:t>
      </w:r>
    </w:p>
    <w:p w:rsidR="00B40B72" w:rsidP="00B40B72" w:rsidRDefault="00B40B72">
      <w:pPr>
        <w:spacing w:line="276" w:lineRule="auto"/>
        <w:ind w:firstLine="708"/>
        <w:rPr>
          <w:rFonts w:eastAsiaTheme="minorHAnsi"/>
          <w:szCs w:val="24"/>
        </w:rPr>
      </w:pPr>
    </w:p>
    <w:p w:rsidRPr="006B0053" w:rsidR="006B0053" w:rsidP="00B40B72" w:rsidRDefault="006B0053">
      <w:pPr>
        <w:spacing w:line="276" w:lineRule="auto"/>
        <w:ind w:firstLine="708"/>
        <w:rPr>
          <w:rFonts w:eastAsiaTheme="minorHAnsi"/>
          <w:szCs w:val="24"/>
        </w:rPr>
      </w:pPr>
      <w:r w:rsidRPr="006B0053">
        <w:rPr>
          <w:rFonts w:eastAsiaTheme="minorHAnsi"/>
          <w:szCs w:val="24"/>
        </w:rPr>
        <w:t>I/ Stečajnom povjereniku Stjepanu Rakarcu, OIB: 64132194100, Velika Gorica, Črnkovec 16, odmjerava se na ime nagrade za razdoblje provjere ponašanja od 13. 11. 2017. do 13. 11. 2018. iznos od 3.000,00 kn (tritisuće kuna) bruto.</w:t>
      </w:r>
    </w:p>
    <w:p w:rsidR="00B40B72" w:rsidP="00B40B72" w:rsidRDefault="00B40B72">
      <w:pPr>
        <w:spacing w:line="276" w:lineRule="auto"/>
        <w:ind w:firstLine="708"/>
        <w:rPr>
          <w:rFonts w:eastAsiaTheme="minorHAnsi"/>
          <w:szCs w:val="24"/>
        </w:rPr>
      </w:pPr>
    </w:p>
    <w:p w:rsidRPr="006B0053" w:rsidR="006B0053" w:rsidP="00B40B72" w:rsidRDefault="006B0053">
      <w:pPr>
        <w:spacing w:line="276" w:lineRule="auto"/>
        <w:ind w:firstLine="708"/>
        <w:rPr>
          <w:rFonts w:eastAsiaTheme="minorHAnsi"/>
          <w:szCs w:val="24"/>
        </w:rPr>
      </w:pPr>
      <w:r w:rsidRPr="006B0053">
        <w:rPr>
          <w:rFonts w:eastAsiaTheme="minorHAnsi"/>
          <w:szCs w:val="24"/>
        </w:rPr>
        <w:t>II/ Navedeni iznos iz točke I/ izreke ovog rješenja isplatiti će se na transakcijski račun stečajnog povjerenika Stjepana Rakarca br. HR7624840083111805735 iz sredstava državnog proračuna, u roku od 30 dana od pravomoćnosti odluke o odmjeravanju troškova.</w:t>
      </w:r>
    </w:p>
    <w:p w:rsidR="00B40B72" w:rsidP="00B40B72" w:rsidRDefault="00B40B72">
      <w:pPr>
        <w:spacing w:line="276" w:lineRule="auto"/>
        <w:ind w:firstLine="708"/>
        <w:rPr>
          <w:rFonts w:eastAsiaTheme="minorHAnsi"/>
          <w:szCs w:val="24"/>
        </w:rPr>
      </w:pPr>
    </w:p>
    <w:p w:rsidRPr="006B0053" w:rsidR="006B0053" w:rsidP="00B40B72" w:rsidRDefault="006B0053">
      <w:pPr>
        <w:spacing w:line="276" w:lineRule="auto"/>
        <w:ind w:firstLine="708"/>
        <w:rPr>
          <w:rFonts w:eastAsiaTheme="minorHAnsi"/>
          <w:szCs w:val="24"/>
        </w:rPr>
      </w:pPr>
      <w:r w:rsidRPr="006B0053">
        <w:rPr>
          <w:rFonts w:eastAsiaTheme="minorHAnsi"/>
          <w:szCs w:val="24"/>
        </w:rPr>
        <w:t>III/ Odbija se stečajni povjerenik Stjepan Rakarec, OIB: 64132194100, Velika Gorica, Črnkovec 16, sa zahtjevom za odmjeravanje nagrade za iznos od 2.000,00 kn bruto.</w:t>
      </w:r>
    </w:p>
    <w:p w:rsidR="00B40B72" w:rsidP="00B40B72" w:rsidRDefault="00B40B72">
      <w:pPr>
        <w:spacing w:line="276" w:lineRule="auto"/>
        <w:jc w:val="center"/>
        <w:rPr>
          <w:rFonts w:eastAsiaTheme="minorHAnsi"/>
          <w:szCs w:val="24"/>
        </w:rPr>
      </w:pPr>
    </w:p>
    <w:p w:rsidRPr="006B0053" w:rsidR="006B0053" w:rsidP="00B40B72" w:rsidRDefault="006B0053">
      <w:pPr>
        <w:spacing w:line="276" w:lineRule="auto"/>
        <w:jc w:val="center"/>
        <w:rPr>
          <w:rFonts w:eastAsiaTheme="minorHAnsi"/>
          <w:szCs w:val="24"/>
        </w:rPr>
      </w:pPr>
      <w:r w:rsidRPr="006B0053">
        <w:rPr>
          <w:rFonts w:eastAsiaTheme="minorHAnsi"/>
          <w:szCs w:val="24"/>
        </w:rPr>
        <w:t>Obrazloženje</w:t>
      </w:r>
    </w:p>
    <w:p w:rsidR="00B40B72" w:rsidP="00B40B72" w:rsidRDefault="00B40B72">
      <w:pPr>
        <w:spacing w:line="276" w:lineRule="auto"/>
        <w:ind w:firstLine="708"/>
        <w:rPr>
          <w:rFonts w:eastAsiaTheme="minorHAnsi"/>
          <w:szCs w:val="24"/>
        </w:rPr>
      </w:pPr>
    </w:p>
    <w:p w:rsidRPr="006B0053" w:rsidR="006B0053" w:rsidP="00B40B72" w:rsidRDefault="006B0053">
      <w:pPr>
        <w:spacing w:line="276" w:lineRule="auto"/>
        <w:ind w:firstLine="708"/>
        <w:rPr>
          <w:rFonts w:eastAsiaTheme="minorHAnsi"/>
          <w:szCs w:val="24"/>
        </w:rPr>
      </w:pPr>
      <w:r w:rsidRPr="006B0053">
        <w:rPr>
          <w:rFonts w:eastAsiaTheme="minorHAnsi"/>
          <w:szCs w:val="24"/>
        </w:rPr>
        <w:t xml:space="preserve">Rješenjem ovog suda broj Sp-20/16-14 od 13. 11. 2017. otvoren je i zaključen postupak stečaja potrošača nad potrošačem Dubravkom Sabolčki te je povjerenikom imenovan Stjepan Rakarec. </w:t>
      </w:r>
    </w:p>
    <w:p w:rsidR="00B40B72" w:rsidP="00B40B72" w:rsidRDefault="006B0053">
      <w:pPr>
        <w:spacing w:line="276" w:lineRule="auto"/>
        <w:ind w:firstLine="708"/>
        <w:rPr>
          <w:rFonts w:eastAsiaTheme="minorHAnsi"/>
          <w:szCs w:val="24"/>
        </w:rPr>
      </w:pPr>
      <w:r w:rsidRPr="006B0053">
        <w:rPr>
          <w:rFonts w:eastAsiaTheme="minorHAnsi"/>
          <w:szCs w:val="24"/>
        </w:rPr>
        <w:t xml:space="preserve"> </w:t>
      </w:r>
    </w:p>
    <w:p w:rsidRPr="006B0053" w:rsidR="006B0053" w:rsidP="00B40B72" w:rsidRDefault="006B0053">
      <w:pPr>
        <w:spacing w:line="276" w:lineRule="auto"/>
        <w:ind w:firstLine="708"/>
        <w:rPr>
          <w:rFonts w:eastAsiaTheme="minorHAnsi"/>
          <w:szCs w:val="24"/>
        </w:rPr>
      </w:pPr>
      <w:r w:rsidRPr="006B0053">
        <w:rPr>
          <w:rFonts w:eastAsiaTheme="minorHAnsi"/>
          <w:szCs w:val="24"/>
        </w:rPr>
        <w:t>Povjerenik je podneskom od 14. svibnja 2019. podnio zahtjev za nagradu tijekom razdoblja provjere ponašanja i to od 13. 11. 2017. do 13. 11.  2018. u bruto iznosu od 4.000,00 kn u kojem navodi kako je u proteklom periodu kontaktirao potrošača, slao dopise potrošaču, informirao potrošača o njegovim obvezama, provjeravao imovinski status potrošača, otvorio račun za potrošača, koristio vlastita materijalno tehnička sredstva, trošio svoje vrijeme te koristio stečeno stručno i iskustveno znanje, te je prikupio sredstva koja čine stečajnu masu.</w:t>
      </w:r>
    </w:p>
    <w:p w:rsidRPr="006B0053" w:rsidR="006B0053" w:rsidP="00B40B72" w:rsidRDefault="006B0053">
      <w:pPr>
        <w:spacing w:line="276" w:lineRule="auto"/>
        <w:ind w:firstLine="708"/>
        <w:rPr>
          <w:rFonts w:eastAsiaTheme="minorHAnsi"/>
          <w:szCs w:val="24"/>
        </w:rPr>
      </w:pPr>
      <w:r w:rsidRPr="006B0053">
        <w:rPr>
          <w:rFonts w:eastAsiaTheme="minorHAnsi"/>
          <w:szCs w:val="24"/>
        </w:rPr>
        <w:lastRenderedPageBreak/>
        <w:t>Sukladno čl. 43. stav 1. Zakon o stečaju potrošača (Narodne novine broj 100/15, dalje ZSP), povjerenik ima pravo na nagradu za svoj rad te na naknadu stvarnih troškova.</w:t>
      </w:r>
    </w:p>
    <w:p w:rsidR="00B40B72" w:rsidP="00B40B72" w:rsidRDefault="00B40B72">
      <w:pPr>
        <w:spacing w:line="276" w:lineRule="auto"/>
        <w:ind w:firstLine="708"/>
        <w:rPr>
          <w:rFonts w:eastAsiaTheme="minorHAnsi"/>
          <w:szCs w:val="24"/>
        </w:rPr>
      </w:pPr>
    </w:p>
    <w:p w:rsidRPr="006B0053" w:rsidR="006B0053" w:rsidP="00B40B72" w:rsidRDefault="006B0053">
      <w:pPr>
        <w:spacing w:line="276" w:lineRule="auto"/>
        <w:ind w:firstLine="708"/>
        <w:rPr>
          <w:rFonts w:eastAsiaTheme="minorHAnsi"/>
          <w:szCs w:val="24"/>
        </w:rPr>
      </w:pPr>
      <w:r w:rsidRPr="006B0053">
        <w:rPr>
          <w:rFonts w:eastAsiaTheme="minorHAnsi"/>
          <w:szCs w:val="24"/>
        </w:rPr>
        <w:t>Prema odredbi st. 2. istog članka, nagradu povjereniku određuje sud prema Uredbi Vlade Republike Hrvatske kojom se utvrđuju kriteriji i način obračuna te plaćanja nagrade povjerenicima. Prema odredbi čl. 8 st. 1. Uredba o kriterijima i načinu obračuna i plaćanja nagrade povjerenicima u postupku stečaja potrošača (Narodne novine broj 13/16, dalje Uredba), za razdoblje provjere ponašanja povjereniku pripada pravo na nagradu u iznosu od 2.000,00 kn do 20.000,00 kn, za svaku godinu, ovisno o složenosti poslova koje obavlja.</w:t>
      </w:r>
    </w:p>
    <w:p w:rsidR="00B40B72" w:rsidP="00B40B72" w:rsidRDefault="00B40B72">
      <w:pPr>
        <w:spacing w:line="276" w:lineRule="auto"/>
        <w:ind w:firstLine="708"/>
        <w:rPr>
          <w:rFonts w:eastAsiaTheme="minorHAnsi"/>
          <w:szCs w:val="24"/>
        </w:rPr>
      </w:pPr>
    </w:p>
    <w:p w:rsidRPr="006B0053" w:rsidR="006B0053" w:rsidP="00B40B72" w:rsidRDefault="00B40B72">
      <w:pPr>
        <w:spacing w:line="276" w:lineRule="auto"/>
        <w:ind w:firstLine="708"/>
        <w:rPr>
          <w:rFonts w:eastAsiaTheme="minorHAnsi"/>
          <w:szCs w:val="24"/>
        </w:rPr>
      </w:pPr>
      <w:r>
        <w:rPr>
          <w:rFonts w:eastAsiaTheme="minorHAnsi"/>
          <w:szCs w:val="24"/>
        </w:rPr>
        <w:t>R</w:t>
      </w:r>
      <w:r w:rsidRPr="006B0053" w:rsidR="006B0053">
        <w:rPr>
          <w:rFonts w:eastAsiaTheme="minorHAnsi"/>
          <w:szCs w:val="24"/>
        </w:rPr>
        <w:t xml:space="preserve">ješenjem iz ureda državne uprave varaždinske županije, klasa: UP/I – 701-03/16-01/246, Urbroj: 2186-01-01-01-16-5 od 28. listopada 2016. potrošaču Dubravki Sabolčki odobreno je korištenje pravne pomoći oslobođenjem od obveze uplate predujma troškova postupka stečaja potrošača. </w:t>
      </w:r>
    </w:p>
    <w:p w:rsidR="00B40B72" w:rsidP="00B40B72" w:rsidRDefault="00B40B72">
      <w:pPr>
        <w:spacing w:line="276" w:lineRule="auto"/>
        <w:ind w:firstLine="708"/>
        <w:rPr>
          <w:rFonts w:eastAsiaTheme="minorHAnsi"/>
          <w:szCs w:val="24"/>
        </w:rPr>
      </w:pPr>
    </w:p>
    <w:p w:rsidRPr="006B0053" w:rsidR="006B0053" w:rsidP="00B40B72" w:rsidRDefault="006B0053">
      <w:pPr>
        <w:spacing w:line="276" w:lineRule="auto"/>
        <w:ind w:firstLine="708"/>
        <w:rPr>
          <w:rFonts w:eastAsiaTheme="minorHAnsi"/>
          <w:szCs w:val="24"/>
        </w:rPr>
      </w:pPr>
      <w:r w:rsidRPr="006B0053">
        <w:rPr>
          <w:rFonts w:eastAsiaTheme="minorHAnsi"/>
          <w:szCs w:val="24"/>
        </w:rPr>
        <w:t>Obzirom da je sud sukladno čl. 8. Uredbe bio dužan odrediti nagradu povjereniku za svaku godinu provjere (koja je počela teći od pravomoćnosti rješenja o otvaranju i zaključenju postupka stečaja potrošača), te obzirom da je u predmetnoj godini povjerenik otvorio transakcijski račun potrošača, zatvorio postojeće račune istog, vršio provjeru imovine potrošača, dostavljao sudu kvartalna izvješća, prikupljao određeni iznos sredstava na transakcijskom računu, sud ocjenjuje kako je primjerena nagrada za predmetne poslove u toku jedne godine 3.000,00 kn, prije svega iz razloga jer potrošač Dubravka Sabolčki osim mirovine nema druge imovine koju bi bilo potrebno unovčavati, tako da nije bilo potrebe za dodatnim posebnim angažmanom stečajnog povjerenika u tom razdoblju.</w:t>
      </w:r>
    </w:p>
    <w:p w:rsidR="00B40B72" w:rsidP="00B40B72" w:rsidRDefault="00B40B72">
      <w:pPr>
        <w:spacing w:line="276" w:lineRule="auto"/>
        <w:ind w:firstLine="708"/>
        <w:rPr>
          <w:rFonts w:eastAsiaTheme="minorHAnsi"/>
          <w:szCs w:val="24"/>
        </w:rPr>
      </w:pPr>
    </w:p>
    <w:p w:rsidRPr="006B0053" w:rsidR="006B0053" w:rsidP="00B40B72" w:rsidRDefault="006B0053">
      <w:pPr>
        <w:spacing w:line="276" w:lineRule="auto"/>
        <w:ind w:firstLine="708"/>
        <w:rPr>
          <w:rFonts w:eastAsiaTheme="minorHAnsi"/>
          <w:szCs w:val="24"/>
        </w:rPr>
      </w:pPr>
      <w:r w:rsidRPr="006B0053">
        <w:rPr>
          <w:rFonts w:eastAsiaTheme="minorHAnsi"/>
          <w:szCs w:val="24"/>
        </w:rPr>
        <w:t>Slijedom navedenog odlučeno je kao u izreci.</w:t>
      </w:r>
    </w:p>
    <w:p w:rsidR="00B40B72" w:rsidP="00B40B72" w:rsidRDefault="00B40B72">
      <w:pPr>
        <w:spacing w:line="276" w:lineRule="auto"/>
        <w:ind w:firstLine="708"/>
        <w:jc w:val="center"/>
        <w:rPr>
          <w:rFonts w:eastAsiaTheme="minorHAnsi"/>
          <w:szCs w:val="24"/>
        </w:rPr>
      </w:pPr>
    </w:p>
    <w:p w:rsidR="00B40B72" w:rsidP="00B40B72" w:rsidRDefault="00B40B72">
      <w:pPr>
        <w:spacing w:line="276" w:lineRule="auto"/>
        <w:ind w:firstLine="708"/>
        <w:jc w:val="center"/>
        <w:rPr>
          <w:rFonts w:eastAsiaTheme="minorHAnsi"/>
          <w:szCs w:val="24"/>
        </w:rPr>
      </w:pPr>
    </w:p>
    <w:p w:rsidR="006B0053" w:rsidP="00B40B72" w:rsidRDefault="006B0053">
      <w:pPr>
        <w:spacing w:line="276" w:lineRule="auto"/>
        <w:ind w:firstLine="708"/>
        <w:jc w:val="center"/>
        <w:rPr>
          <w:rFonts w:eastAsiaTheme="minorHAnsi"/>
          <w:szCs w:val="24"/>
        </w:rPr>
      </w:pPr>
      <w:r w:rsidRPr="006B0053">
        <w:rPr>
          <w:rFonts w:eastAsiaTheme="minorHAnsi"/>
          <w:szCs w:val="24"/>
        </w:rPr>
        <w:t xml:space="preserve">U Varaždinu </w:t>
      </w:r>
      <w:r w:rsidR="00B40B72">
        <w:rPr>
          <w:rFonts w:eastAsiaTheme="minorHAnsi"/>
          <w:szCs w:val="24"/>
        </w:rPr>
        <w:t xml:space="preserve">21. listopada </w:t>
      </w:r>
      <w:r w:rsidRPr="006B0053">
        <w:rPr>
          <w:rFonts w:eastAsiaTheme="minorHAnsi"/>
          <w:szCs w:val="24"/>
        </w:rPr>
        <w:t>2019.</w:t>
      </w:r>
    </w:p>
    <w:p w:rsidR="00B40B72" w:rsidP="00B40B72" w:rsidRDefault="00B40B72">
      <w:pPr>
        <w:spacing w:line="276" w:lineRule="auto"/>
        <w:ind w:firstLine="708"/>
        <w:jc w:val="center"/>
        <w:rPr>
          <w:rFonts w:eastAsiaTheme="minorHAnsi"/>
          <w:szCs w:val="24"/>
        </w:rPr>
      </w:pPr>
    </w:p>
    <w:p w:rsidRPr="006B0053" w:rsidR="00B40B72" w:rsidP="00B40B72" w:rsidRDefault="00B40B72">
      <w:pPr>
        <w:spacing w:line="276" w:lineRule="auto"/>
        <w:ind w:firstLine="708"/>
        <w:jc w:val="center"/>
        <w:rPr>
          <w:rFonts w:eastAsiaTheme="minorHAnsi"/>
          <w:szCs w:val="24"/>
        </w:rPr>
      </w:pPr>
    </w:p>
    <w:p w:rsidRPr="006B0053" w:rsidR="006B0053" w:rsidP="00B40B72" w:rsidRDefault="006B0053">
      <w:pPr>
        <w:jc w:val="left"/>
        <w:rPr>
          <w:rFonts w:eastAsiaTheme="minorHAnsi"/>
          <w:szCs w:val="24"/>
        </w:rPr>
      </w:pPr>
      <w:r w:rsidRPr="006B0053">
        <w:rPr>
          <w:rFonts w:asciiTheme="minorHAnsi" w:hAnsiTheme="minorHAnsi" w:eastAsiaTheme="minorHAnsi" w:cstheme="minorBidi"/>
          <w:sz w:val="22"/>
        </w:rPr>
        <w:tab/>
      </w:r>
      <w:r w:rsidRPr="006B0053">
        <w:rPr>
          <w:rFonts w:asciiTheme="minorHAnsi" w:hAnsiTheme="minorHAnsi" w:eastAsiaTheme="minorHAnsi" w:cstheme="minorBidi"/>
          <w:sz w:val="22"/>
        </w:rPr>
        <w:tab/>
      </w:r>
      <w:r w:rsidRPr="006B0053">
        <w:rPr>
          <w:rFonts w:asciiTheme="minorHAnsi" w:hAnsiTheme="minorHAnsi" w:eastAsiaTheme="minorHAnsi" w:cstheme="minorBidi"/>
          <w:sz w:val="22"/>
        </w:rPr>
        <w:tab/>
      </w:r>
      <w:r w:rsidRPr="006B0053">
        <w:rPr>
          <w:rFonts w:asciiTheme="minorHAnsi" w:hAnsiTheme="minorHAnsi" w:eastAsiaTheme="minorHAnsi" w:cstheme="minorBidi"/>
          <w:sz w:val="22"/>
        </w:rPr>
        <w:tab/>
      </w:r>
      <w:r w:rsidRPr="006B0053">
        <w:rPr>
          <w:rFonts w:asciiTheme="minorHAnsi" w:hAnsiTheme="minorHAnsi" w:eastAsiaTheme="minorHAnsi" w:cstheme="minorBidi"/>
          <w:sz w:val="22"/>
        </w:rPr>
        <w:tab/>
      </w:r>
      <w:r w:rsidRPr="006B0053">
        <w:rPr>
          <w:rFonts w:asciiTheme="minorHAnsi" w:hAnsiTheme="minorHAnsi" w:eastAsiaTheme="minorHAnsi" w:cstheme="minorBidi"/>
          <w:sz w:val="22"/>
        </w:rPr>
        <w:tab/>
      </w:r>
      <w:r w:rsidRPr="006B0053">
        <w:rPr>
          <w:rFonts w:asciiTheme="minorHAnsi" w:hAnsiTheme="minorHAnsi" w:eastAsiaTheme="minorHAnsi" w:cstheme="minorBidi"/>
          <w:sz w:val="22"/>
        </w:rPr>
        <w:tab/>
      </w:r>
      <w:r w:rsidRPr="006B0053">
        <w:rPr>
          <w:rFonts w:asciiTheme="minorHAnsi" w:hAnsiTheme="minorHAnsi" w:eastAsiaTheme="minorHAnsi" w:cstheme="minorBidi"/>
          <w:sz w:val="22"/>
        </w:rPr>
        <w:tab/>
      </w:r>
      <w:r w:rsidRPr="006B0053">
        <w:rPr>
          <w:rFonts w:asciiTheme="minorHAnsi" w:hAnsiTheme="minorHAnsi" w:eastAsiaTheme="minorHAnsi" w:cstheme="minorBidi"/>
          <w:sz w:val="22"/>
        </w:rPr>
        <w:tab/>
      </w:r>
      <w:r w:rsidR="00B40B72">
        <w:rPr>
          <w:rFonts w:asciiTheme="minorHAnsi" w:hAnsiTheme="minorHAnsi" w:eastAsiaTheme="minorHAnsi" w:cstheme="minorBidi"/>
          <w:sz w:val="22"/>
        </w:rPr>
        <w:t xml:space="preserve">   </w:t>
      </w:r>
      <w:r w:rsidRPr="006B0053">
        <w:rPr>
          <w:rFonts w:eastAsiaTheme="minorHAnsi"/>
          <w:szCs w:val="24"/>
        </w:rPr>
        <w:t>S</w:t>
      </w:r>
      <w:r w:rsidR="00B40B72">
        <w:rPr>
          <w:rFonts w:eastAsiaTheme="minorHAnsi"/>
          <w:szCs w:val="24"/>
        </w:rPr>
        <w:t>utkinja</w:t>
      </w:r>
    </w:p>
    <w:p w:rsidRPr="006B0053" w:rsidR="006B0053" w:rsidP="00B40B72" w:rsidRDefault="006B0053">
      <w:pPr>
        <w:jc w:val="left"/>
        <w:rPr>
          <w:rFonts w:eastAsiaTheme="minorHAnsi"/>
          <w:szCs w:val="24"/>
        </w:rPr>
      </w:pPr>
      <w:r w:rsidRPr="006B0053">
        <w:rPr>
          <w:rFonts w:eastAsiaTheme="minorHAnsi"/>
          <w:szCs w:val="24"/>
        </w:rPr>
        <w:tab/>
      </w:r>
      <w:r w:rsidRPr="006B0053">
        <w:rPr>
          <w:rFonts w:eastAsiaTheme="minorHAnsi"/>
          <w:szCs w:val="24"/>
        </w:rPr>
        <w:tab/>
      </w:r>
      <w:r w:rsidRPr="006B0053">
        <w:rPr>
          <w:rFonts w:eastAsiaTheme="minorHAnsi"/>
          <w:szCs w:val="24"/>
        </w:rPr>
        <w:tab/>
      </w:r>
      <w:r w:rsidRPr="006B0053">
        <w:rPr>
          <w:rFonts w:eastAsiaTheme="minorHAnsi"/>
          <w:szCs w:val="24"/>
        </w:rPr>
        <w:tab/>
      </w:r>
      <w:r w:rsidRPr="006B0053">
        <w:rPr>
          <w:rFonts w:eastAsiaTheme="minorHAnsi"/>
          <w:szCs w:val="24"/>
        </w:rPr>
        <w:tab/>
      </w:r>
      <w:r w:rsidRPr="006B0053">
        <w:rPr>
          <w:rFonts w:eastAsiaTheme="minorHAnsi"/>
          <w:szCs w:val="24"/>
        </w:rPr>
        <w:tab/>
      </w:r>
      <w:r w:rsidRPr="006B0053">
        <w:rPr>
          <w:rFonts w:eastAsiaTheme="minorHAnsi"/>
          <w:szCs w:val="24"/>
        </w:rPr>
        <w:tab/>
      </w:r>
      <w:r w:rsidRPr="006B0053">
        <w:rPr>
          <w:rFonts w:eastAsiaTheme="minorHAnsi"/>
          <w:szCs w:val="24"/>
        </w:rPr>
        <w:tab/>
        <w:t xml:space="preserve">       Ana-Marija Murić</w:t>
      </w:r>
      <w:r w:rsidR="00B40B72">
        <w:rPr>
          <w:rFonts w:eastAsiaTheme="minorHAnsi"/>
          <w:szCs w:val="24"/>
        </w:rPr>
        <w:t xml:space="preserve"> v. r.</w:t>
      </w:r>
    </w:p>
    <w:p w:rsidR="006B0053" w:rsidP="00B40B72" w:rsidRDefault="006B0053">
      <w:pPr>
        <w:jc w:val="left"/>
        <w:rPr>
          <w:rFonts w:eastAsiaTheme="minorHAnsi"/>
          <w:szCs w:val="24"/>
        </w:rPr>
      </w:pPr>
    </w:p>
    <w:p w:rsidRPr="006B0053" w:rsidR="00B40B72" w:rsidP="00B40B72" w:rsidRDefault="00B40B72">
      <w:pPr>
        <w:jc w:val="left"/>
        <w:rPr>
          <w:rFonts w:eastAsiaTheme="minorHAnsi"/>
          <w:szCs w:val="24"/>
        </w:rPr>
      </w:pPr>
    </w:p>
    <w:p w:rsidRPr="006B0053" w:rsidR="006B0053" w:rsidP="00B40B72" w:rsidRDefault="006B0053">
      <w:pPr>
        <w:spacing w:line="276" w:lineRule="auto"/>
        <w:jc w:val="left"/>
        <w:rPr>
          <w:rFonts w:eastAsiaTheme="minorHAnsi"/>
          <w:szCs w:val="24"/>
        </w:rPr>
      </w:pPr>
      <w:r w:rsidRPr="006B0053">
        <w:rPr>
          <w:rFonts w:eastAsiaTheme="minorHAnsi"/>
          <w:szCs w:val="24"/>
        </w:rPr>
        <w:t>Uputa o pravnom lijeku</w:t>
      </w:r>
    </w:p>
    <w:p w:rsidRPr="006B0053" w:rsidR="006B0053" w:rsidP="00B40B72" w:rsidRDefault="006B0053">
      <w:pPr>
        <w:spacing w:line="276" w:lineRule="auto"/>
        <w:rPr>
          <w:rFonts w:eastAsiaTheme="minorHAnsi"/>
          <w:szCs w:val="24"/>
        </w:rPr>
      </w:pPr>
      <w:r w:rsidRPr="006B0053">
        <w:rPr>
          <w:rFonts w:eastAsiaTheme="minorHAnsi"/>
          <w:szCs w:val="24"/>
        </w:rPr>
        <w:tab/>
        <w:t>Protiv ovog rješenja žalbu može podnijeti potrošač, povjerenik i svaki vjerovnik (čl. 43. st. 4. ZSP) u roku od 15 dana računajući od proteka osmog dana od objave rješenja na mrežnoj stranici e-Oglasna ploča sudova. Žalba se podnosi ovome sudu u tri primjerka, a o žalbi odlučuje nadležni županijski sud.</w:t>
      </w:r>
    </w:p>
    <w:p w:rsidR="00B40B72" w:rsidP="00B40B72" w:rsidRDefault="00B40B72">
      <w:pPr>
        <w:spacing w:line="276" w:lineRule="auto"/>
        <w:rPr>
          <w:rFonts w:eastAsiaTheme="minorHAnsi"/>
          <w:szCs w:val="24"/>
        </w:rPr>
      </w:pPr>
    </w:p>
    <w:p w:rsidR="00B40B72" w:rsidP="00B40B72" w:rsidRDefault="00B40B72">
      <w:pPr>
        <w:spacing w:line="276" w:lineRule="auto"/>
        <w:rPr>
          <w:rFonts w:eastAsiaTheme="minorHAnsi"/>
          <w:szCs w:val="24"/>
        </w:rPr>
      </w:pPr>
    </w:p>
    <w:p w:rsidRPr="006B0053" w:rsidR="006B0053" w:rsidP="00B40B72" w:rsidRDefault="00B40B72">
      <w:pPr>
        <w:spacing w:line="276" w:lineRule="auto"/>
        <w:rPr>
          <w:rFonts w:eastAsiaTheme="minorHAnsi"/>
          <w:szCs w:val="24"/>
        </w:rPr>
      </w:pPr>
      <w:r>
        <w:rPr>
          <w:rFonts w:eastAsiaTheme="minorHAnsi"/>
          <w:szCs w:val="24"/>
        </w:rPr>
        <w:lastRenderedPageBreak/>
        <w:t>Dostaviti:</w:t>
      </w:r>
      <w:r w:rsidRPr="006B0053" w:rsidR="006B0053">
        <w:rPr>
          <w:rFonts w:eastAsiaTheme="minorHAnsi"/>
          <w:szCs w:val="24"/>
        </w:rPr>
        <w:t xml:space="preserve"> putem mrežne stranice e-Oglasna ploča suda i to: </w:t>
      </w:r>
    </w:p>
    <w:p w:rsidRPr="006B0053" w:rsidR="006B0053" w:rsidP="00B40B72" w:rsidRDefault="006B0053">
      <w:pPr>
        <w:spacing w:line="276" w:lineRule="auto"/>
        <w:rPr>
          <w:rFonts w:eastAsiaTheme="minorHAnsi"/>
          <w:szCs w:val="24"/>
        </w:rPr>
      </w:pPr>
      <w:r w:rsidRPr="006B0053">
        <w:rPr>
          <w:rFonts w:eastAsiaTheme="minorHAnsi"/>
          <w:szCs w:val="24"/>
        </w:rPr>
        <w:t xml:space="preserve">-vjerovnicima, potrošaču </w:t>
      </w:r>
    </w:p>
    <w:p w:rsidRPr="006B0053" w:rsidR="006B0053" w:rsidP="00B40B72" w:rsidRDefault="006B0053">
      <w:pPr>
        <w:spacing w:line="276" w:lineRule="auto"/>
        <w:rPr>
          <w:rFonts w:eastAsiaTheme="minorHAnsi"/>
          <w:szCs w:val="24"/>
        </w:rPr>
      </w:pPr>
      <w:r w:rsidRPr="006B0053">
        <w:rPr>
          <w:rFonts w:eastAsiaTheme="minorHAnsi"/>
          <w:szCs w:val="24"/>
        </w:rPr>
        <w:t>- povjereniku poštom</w:t>
      </w:r>
    </w:p>
    <w:p w:rsidR="00B40B72" w:rsidP="00B40B72" w:rsidRDefault="00B40B72">
      <w:pPr>
        <w:rPr>
          <w:rFonts w:eastAsia="Times New Roman"/>
          <w:szCs w:val="24"/>
          <w:lang w:val="en-AU" w:eastAsia="hr-HR"/>
        </w:rPr>
      </w:pPr>
    </w:p>
    <w:p w:rsidRPr="008F3422" w:rsidR="00B40B72" w:rsidP="00B40B72" w:rsidRDefault="00B40B72">
      <w:pPr>
        <w:ind w:left="3540" w:firstLine="708"/>
        <w:rPr>
          <w:rFonts w:eastAsia="Times New Roman"/>
          <w:szCs w:val="24"/>
          <w:lang w:val="en-AU" w:eastAsia="hr-HR"/>
        </w:rPr>
      </w:pPr>
      <w:r w:rsidRPr="008F3422">
        <w:rPr>
          <w:rFonts w:eastAsia="Times New Roman"/>
          <w:szCs w:val="24"/>
          <w:lang w:val="en-AU" w:eastAsia="hr-HR"/>
        </w:rPr>
        <w:t>Za točnost</w:t>
      </w:r>
      <w:r>
        <w:rPr>
          <w:rFonts w:eastAsia="Times New Roman"/>
          <w:szCs w:val="24"/>
          <w:lang w:val="en-AU" w:eastAsia="hr-HR"/>
        </w:rPr>
        <w:t xml:space="preserve"> otpravka – ovlašteni službenik</w:t>
      </w:r>
    </w:p>
    <w:p w:rsidR="00B40B72" w:rsidP="00B40B72" w:rsidRDefault="00B40B72">
      <w:pPr>
        <w:rPr>
          <w:rFonts w:eastAsia="Times New Roman"/>
          <w:szCs w:val="24"/>
          <w:lang w:val="en-AU" w:eastAsia="hr-HR"/>
        </w:rPr>
      </w:pPr>
      <w:r w:rsidRPr="008F3422">
        <w:rPr>
          <w:rFonts w:eastAsia="Times New Roman"/>
          <w:szCs w:val="24"/>
          <w:lang w:val="en-AU" w:eastAsia="hr-HR"/>
        </w:rPr>
        <w:t xml:space="preserve">                                                                                               Biserka Bajer</w:t>
      </w:r>
    </w:p>
    <w:p w:rsidR="00B40B72" w:rsidP="00B40B72" w:rsidRDefault="00B40B72">
      <w:pPr>
        <w:tabs>
          <w:tab w:val="left" w:pos="5622"/>
        </w:tabs>
        <w:rPr>
          <w:rFonts w:eastAsia="Times New Roman"/>
          <w:szCs w:val="24"/>
          <w:lang w:val="en-AU" w:eastAsia="hr-HR"/>
        </w:rPr>
      </w:pPr>
      <w:r>
        <w:rPr>
          <w:rFonts w:eastAsia="Times New Roman"/>
          <w:szCs w:val="24"/>
          <w:lang w:val="en-AU" w:eastAsia="hr-HR"/>
        </w:rPr>
        <w:tab/>
      </w:r>
    </w:p>
    <w:p w:rsidR="00B40B72" w:rsidP="00B40B72" w:rsidRDefault="00B40B72">
      <w:pPr>
        <w:rPr>
          <w:rFonts w:eastAsia="Times New Roman"/>
          <w:szCs w:val="24"/>
          <w:lang w:val="en-AU" w:eastAsia="hr-HR"/>
        </w:rPr>
      </w:pPr>
    </w:p>
    <w:p w:rsidRPr="006B0053" w:rsidR="006B0053" w:rsidP="00B40B72" w:rsidRDefault="006B0053">
      <w:pPr>
        <w:spacing w:line="276" w:lineRule="auto"/>
        <w:rPr>
          <w:rFonts w:eastAsiaTheme="minorHAnsi"/>
          <w:szCs w:val="24"/>
        </w:rPr>
      </w:pPr>
    </w:p>
    <w:p w:rsidRPr="006B0053" w:rsidR="006B0053" w:rsidP="00B40B72" w:rsidRDefault="006B0053">
      <w:pPr>
        <w:spacing w:line="276" w:lineRule="auto"/>
        <w:rPr>
          <w:rFonts w:eastAsiaTheme="minorHAnsi"/>
          <w:szCs w:val="24"/>
        </w:rPr>
      </w:pPr>
      <w:r w:rsidRPr="006B0053">
        <w:rPr>
          <w:rFonts w:eastAsiaTheme="minorHAnsi"/>
          <w:szCs w:val="24"/>
        </w:rPr>
        <w:t xml:space="preserve"> </w:t>
      </w:r>
    </w:p>
    <w:p w:rsidRPr="006B0053" w:rsidR="006B0053" w:rsidP="00B40B72" w:rsidRDefault="006B0053">
      <w:pPr>
        <w:spacing w:line="276" w:lineRule="auto"/>
        <w:jc w:val="left"/>
        <w:rPr>
          <w:rFonts w:eastAsiaTheme="minorHAnsi"/>
          <w:szCs w:val="24"/>
        </w:rPr>
      </w:pPr>
    </w:p>
    <w:p w:rsidRPr="006B0053" w:rsidR="006B0053" w:rsidP="00B40B72" w:rsidRDefault="006B0053">
      <w:pPr>
        <w:spacing w:line="276" w:lineRule="auto"/>
        <w:jc w:val="left"/>
        <w:rPr>
          <w:rFonts w:eastAsiaTheme="minorHAnsi"/>
          <w:szCs w:val="24"/>
        </w:rPr>
      </w:pPr>
    </w:p>
    <w:p w:rsidRPr="006B0053" w:rsidR="006B0053" w:rsidP="00B40B72" w:rsidRDefault="006B0053">
      <w:pPr>
        <w:spacing w:line="276" w:lineRule="auto"/>
        <w:jc w:val="left"/>
        <w:rPr>
          <w:rFonts w:eastAsiaTheme="minorHAnsi"/>
          <w:szCs w:val="24"/>
        </w:rPr>
      </w:pPr>
    </w:p>
    <w:p w:rsidR="0058715A" w:rsidP="00B40B72" w:rsidRDefault="0058715A">
      <w:pPr>
        <w:rPr>
          <w:rFonts w:eastAsia="Times New Roman"/>
          <w:szCs w:val="24"/>
          <w:lang w:eastAsia="hr-HR"/>
        </w:rPr>
      </w:pPr>
    </w:p>
    <w:sectPr w:rsidR="0058715A" w:rsidSect="006E21E5">
      <w:headerReference w:type="default" r:id="rId10"/>
      <w:pgSz w:w="11906" w:h="16838" w:code="9"/>
      <w:pgMar w:top="1417" w:right="1417" w:bottom="1417" w:left="1417" w:header="851" w:footer="851"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43C7C" w:rsidP="00017662" w:rsidRDefault="00B43C7C">
      <w:r>
        <w:separator/>
      </w:r>
    </w:p>
  </w:endnote>
  <w:endnote w:type="continuationSeparator" w:id="0">
    <w:p w:rsidR="00B43C7C" w:rsidP="00017662" w:rsidRDefault="00B43C7C">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43C7C" w:rsidP="00017662" w:rsidRDefault="00B43C7C">
      <w:r>
        <w:separator/>
      </w:r>
    </w:p>
  </w:footnote>
  <w:footnote w:type="continuationSeparator" w:id="0">
    <w:p w:rsidR="00B43C7C" w:rsidP="00017662" w:rsidRDefault="00B43C7C">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E21E5" w:rsidRDefault="006E21E5">
    <w:pPr>
      <w:pStyle w:val="Zaglavlje"/>
      <w:jc w:val="center"/>
    </w:pPr>
    <w:r>
      <w:fldChar w:fldCharType="begin"/>
    </w:r>
    <w:r>
      <w:instrText>PAGE   \* MERGEFORMAT</w:instrText>
    </w:r>
    <w:r>
      <w:fldChar w:fldCharType="separate"/>
    </w:r>
    <w:r w:rsidR="005C30B3">
      <w:rPr>
        <w:noProof/>
      </w:rPr>
      <w:t>3</w:t>
    </w:r>
    <w:r>
      <w:fldChar w:fldCharType="end"/>
    </w:r>
  </w:p>
  <w:p w:rsidR="00017662" w:rsidP="006E21E5" w:rsidRDefault="00017662">
    <w:pPr>
      <w:pStyle w:val="Zaglavlje"/>
      <w:jc w:val="right"/>
    </w:pPr>
  </w:p>
  <w:p w:rsidRPr="006B0053" w:rsidR="00B40B72" w:rsidP="00B40B72" w:rsidRDefault="00DF2359">
    <w:pPr>
      <w:jc w:val="left"/>
      <w:rPr>
        <w:rFonts w:eastAsiaTheme="minorHAnsi"/>
        <w:szCs w:val="24"/>
      </w:rPr>
    </w:pPr>
    <w:r w:rsidRPr="00961C5D">
      <w:rPr>
        <w:bCs/>
        <w:szCs w:val="24"/>
      </w:rPr>
      <w:t xml:space="preserve">             </w:t>
    </w:r>
    <w:r>
      <w:rPr>
        <w:bCs/>
        <w:szCs w:val="24"/>
      </w:rPr>
      <w:t xml:space="preserve">                                                    </w:t>
    </w:r>
    <w:r w:rsidR="003E3F19">
      <w:rPr>
        <w:bCs/>
        <w:szCs w:val="24"/>
      </w:rPr>
      <w:t xml:space="preserve">                            </w:t>
    </w:r>
    <w:r w:rsidR="000F637B">
      <w:rPr>
        <w:bCs/>
        <w:szCs w:val="24"/>
      </w:rPr>
      <w:tab/>
    </w:r>
    <w:r w:rsidRPr="000F637B" w:rsidR="000F637B">
      <w:rPr>
        <w:rFonts w:eastAsia="Times New Roman"/>
        <w:szCs w:val="24"/>
        <w:lang w:eastAsia="hr-HR"/>
      </w:rPr>
      <w:t>Posl</w:t>
    </w:r>
    <w:r w:rsidR="000F637B">
      <w:rPr>
        <w:rFonts w:eastAsia="Times New Roman"/>
        <w:szCs w:val="24"/>
        <w:lang w:eastAsia="hr-HR"/>
      </w:rPr>
      <w:t>ovni br</w:t>
    </w:r>
    <w:r w:rsidR="006008A3">
      <w:rPr>
        <w:rFonts w:eastAsia="Times New Roman"/>
        <w:szCs w:val="24"/>
        <w:lang w:eastAsia="hr-HR"/>
      </w:rPr>
      <w:t xml:space="preserve">oj: </w:t>
    </w:r>
    <w:r w:rsidRPr="006008A3" w:rsidR="006008A3">
      <w:rPr>
        <w:rFonts w:eastAsia="Times New Roman"/>
        <w:szCs w:val="24"/>
        <w:lang w:eastAsia="hr-HR"/>
      </w:rPr>
      <w:t xml:space="preserve">7 </w:t>
    </w:r>
    <w:r w:rsidRPr="006B0053" w:rsidR="00B40B72">
      <w:rPr>
        <w:rFonts w:eastAsiaTheme="minorHAnsi"/>
        <w:szCs w:val="24"/>
      </w:rPr>
      <w:t>Sp-20/16-32</w:t>
    </w:r>
  </w:p>
  <w:p w:rsidR="00DF2359" w:rsidP="003E3F19" w:rsidRDefault="00DF2359">
    <w:pPr>
      <w:pStyle w:val="Zaglavlje"/>
    </w:pPr>
  </w:p>
  <w:p w:rsidR="00B40B72" w:rsidP="003E3F19" w:rsidRDefault="00B40B72">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3716D"/>
    <w:multiLevelType w:val="hybridMultilevel"/>
    <w:tmpl w:val="1AC8D4B4"/>
    <w:lvl w:ilvl="0" w:tplc="577467A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7FB4B17"/>
    <w:multiLevelType w:val="hybridMultilevel"/>
    <w:tmpl w:val="06DEBB3A"/>
    <w:lvl w:ilvl="0" w:tplc="7FEC02EA">
      <w:start w:val="3"/>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95824FD"/>
    <w:multiLevelType w:val="hybridMultilevel"/>
    <w:tmpl w:val="C5EECA7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28D6701"/>
    <w:multiLevelType w:val="hybridMultilevel"/>
    <w:tmpl w:val="9E5A91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4DA73F8"/>
    <w:multiLevelType w:val="hybridMultilevel"/>
    <w:tmpl w:val="F62CB996"/>
    <w:lvl w:ilvl="0" w:tplc="A5D67C3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25974CDB"/>
    <w:multiLevelType w:val="hybridMultilevel"/>
    <w:tmpl w:val="CB5AB2FA"/>
    <w:lvl w:ilvl="0" w:tplc="6D6A0FEA">
      <w:start w:val="8"/>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6">
    <w:nsid w:val="321B6631"/>
    <w:multiLevelType w:val="hybridMultilevel"/>
    <w:tmpl w:val="A6D847F6"/>
    <w:lvl w:ilvl="0" w:tplc="E5127D7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46766B62"/>
    <w:multiLevelType w:val="hybridMultilevel"/>
    <w:tmpl w:val="2FE843A6"/>
    <w:lvl w:ilvl="0" w:tplc="C7C8B860">
      <w:start w:val="1"/>
      <w:numFmt w:val="decimal"/>
      <w:lvlText w:val="%1."/>
      <w:lvlJc w:val="left"/>
      <w:pPr>
        <w:tabs>
          <w:tab w:val="num" w:pos="720"/>
        </w:tabs>
        <w:ind w:left="720" w:hanging="360"/>
      </w:pPr>
      <w:rPr>
        <w:rFonts w:hint="default"/>
        <w:b w:val="false"/>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48221199"/>
    <w:multiLevelType w:val="hybridMultilevel"/>
    <w:tmpl w:val="8FDC80E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26107EC"/>
    <w:multiLevelType w:val="hybridMultilevel"/>
    <w:tmpl w:val="CE6C92E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5A912E64"/>
    <w:multiLevelType w:val="hybridMultilevel"/>
    <w:tmpl w:val="6E400968"/>
    <w:lvl w:ilvl="0" w:tplc="CFC2F87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5C167E9E"/>
    <w:multiLevelType w:val="hybridMultilevel"/>
    <w:tmpl w:val="A876348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10E1E9F"/>
    <w:multiLevelType w:val="hybridMultilevel"/>
    <w:tmpl w:val="2982C5DA"/>
    <w:lvl w:ilvl="0" w:tplc="C85ADB1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3">
    <w:nsid w:val="74D7299E"/>
    <w:multiLevelType w:val="hybridMultilevel"/>
    <w:tmpl w:val="8B9C786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78B45580"/>
    <w:multiLevelType w:val="hybridMultilevel"/>
    <w:tmpl w:val="BDEA35C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79521EBF"/>
    <w:multiLevelType w:val="hybridMultilevel"/>
    <w:tmpl w:val="0280630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4"/>
  </w:num>
  <w:num w:numId="2">
    <w:abstractNumId w:val="4"/>
  </w:num>
  <w:num w:numId="3">
    <w:abstractNumId w:val="13"/>
  </w:num>
  <w:num w:numId="4">
    <w:abstractNumId w:val="7"/>
  </w:num>
  <w:num w:numId="5">
    <w:abstractNumId w:val="12"/>
  </w:num>
  <w:num w:numId="6">
    <w:abstractNumId w:val="11"/>
  </w:num>
  <w:num w:numId="7">
    <w:abstractNumId w:val="0"/>
  </w:num>
  <w:num w:numId="8">
    <w:abstractNumId w:val="1"/>
  </w:num>
  <w:num w:numId="9">
    <w:abstractNumId w:val="5"/>
  </w:num>
  <w:num w:numId="10">
    <w:abstractNumId w:val="3"/>
  </w:num>
  <w:num w:numId="11">
    <w:abstractNumId w:val="6"/>
  </w:num>
  <w:num w:numId="12">
    <w:abstractNumId w:val="15"/>
  </w:num>
  <w:num w:numId="13">
    <w:abstractNumId w:val="9"/>
  </w:num>
  <w:num w:numId="14">
    <w:abstractNumId w:val="8"/>
  </w:num>
  <w:num w:numId="15">
    <w:abstractNumId w:val="10"/>
  </w:num>
  <w:num w:numId="16">
    <w:abstractNumId w:val="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ctiveWritingStyle w:lang="en-AU" w:vendorID="64" w:dllVersion="131078" w:nlCheck="true" w:checkStyle="false" w:appName="MSWord"/>
  <w:attachedTemplate r:id="rId1"/>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C5D"/>
    <w:rsid w:val="00002650"/>
    <w:rsid w:val="000063D9"/>
    <w:rsid w:val="00017662"/>
    <w:rsid w:val="00082779"/>
    <w:rsid w:val="00090388"/>
    <w:rsid w:val="0009540C"/>
    <w:rsid w:val="000F3784"/>
    <w:rsid w:val="000F637B"/>
    <w:rsid w:val="00105344"/>
    <w:rsid w:val="001410FE"/>
    <w:rsid w:val="001A6F83"/>
    <w:rsid w:val="001B2241"/>
    <w:rsid w:val="001E4F2C"/>
    <w:rsid w:val="002712C4"/>
    <w:rsid w:val="0028127F"/>
    <w:rsid w:val="00284CFE"/>
    <w:rsid w:val="002B387A"/>
    <w:rsid w:val="002D3E65"/>
    <w:rsid w:val="00332E40"/>
    <w:rsid w:val="00372BF2"/>
    <w:rsid w:val="003A759E"/>
    <w:rsid w:val="003E3F19"/>
    <w:rsid w:val="004377D2"/>
    <w:rsid w:val="00454C9D"/>
    <w:rsid w:val="004670FC"/>
    <w:rsid w:val="00484244"/>
    <w:rsid w:val="00536097"/>
    <w:rsid w:val="00541489"/>
    <w:rsid w:val="00564409"/>
    <w:rsid w:val="0058715A"/>
    <w:rsid w:val="005C30B3"/>
    <w:rsid w:val="005C50D1"/>
    <w:rsid w:val="00600394"/>
    <w:rsid w:val="006008A3"/>
    <w:rsid w:val="006A1BF5"/>
    <w:rsid w:val="006B0053"/>
    <w:rsid w:val="006C30C0"/>
    <w:rsid w:val="006C3E49"/>
    <w:rsid w:val="006E21E5"/>
    <w:rsid w:val="00715005"/>
    <w:rsid w:val="007332FC"/>
    <w:rsid w:val="00733BCB"/>
    <w:rsid w:val="007662D8"/>
    <w:rsid w:val="00777214"/>
    <w:rsid w:val="00797293"/>
    <w:rsid w:val="007B66BE"/>
    <w:rsid w:val="007C1456"/>
    <w:rsid w:val="00825BF5"/>
    <w:rsid w:val="00827412"/>
    <w:rsid w:val="00893B69"/>
    <w:rsid w:val="008C2CFE"/>
    <w:rsid w:val="008D61D7"/>
    <w:rsid w:val="0094753A"/>
    <w:rsid w:val="00961C5D"/>
    <w:rsid w:val="0096243E"/>
    <w:rsid w:val="0098745B"/>
    <w:rsid w:val="009B25B5"/>
    <w:rsid w:val="009B38C9"/>
    <w:rsid w:val="009F3F50"/>
    <w:rsid w:val="00A0744A"/>
    <w:rsid w:val="00A54658"/>
    <w:rsid w:val="00AD7F3C"/>
    <w:rsid w:val="00AE6480"/>
    <w:rsid w:val="00B2127D"/>
    <w:rsid w:val="00B27134"/>
    <w:rsid w:val="00B272D5"/>
    <w:rsid w:val="00B40B72"/>
    <w:rsid w:val="00B43C7C"/>
    <w:rsid w:val="00B64E63"/>
    <w:rsid w:val="00B85FA2"/>
    <w:rsid w:val="00B90DCA"/>
    <w:rsid w:val="00BD16B3"/>
    <w:rsid w:val="00BE342E"/>
    <w:rsid w:val="00C1341F"/>
    <w:rsid w:val="00CD57CC"/>
    <w:rsid w:val="00D0110F"/>
    <w:rsid w:val="00D6185D"/>
    <w:rsid w:val="00DD1AB6"/>
    <w:rsid w:val="00DF2359"/>
    <w:rsid w:val="00E329D7"/>
    <w:rsid w:val="00E85A8F"/>
    <w:rsid w:val="00E87935"/>
    <w:rsid w:val="00E96151"/>
    <w:rsid w:val="00EA26E1"/>
    <w:rsid w:val="00F03A50"/>
    <w:rsid w:val="00F14F08"/>
    <w:rsid w:val="00F274F2"/>
    <w:rsid w:val="00F63867"/>
    <w:rsid w:val="00FF760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44F711F-23F6-49D5-A50D-C38EA72249D0}"/>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85FA2"/>
    <w:pPr>
      <w:jc w:val="both"/>
    </w:pPr>
    <w:rPr>
      <w:rFonts w:ascii="Times New Roman" w:hAnsi="Times New Roman"/>
      <w:sz w:val="24"/>
      <w:szCs w:val="22"/>
      <w:lang w:eastAsia="en-US"/>
    </w:rPr>
  </w:style>
  <w:style w:type="paragraph" w:styleId="Naslov1">
    <w:name w:val="heading 1"/>
    <w:basedOn w:val="Normal"/>
    <w:next w:val="Normal"/>
    <w:link w:val="Naslov1Char"/>
    <w:qFormat/>
    <w:rsid w:val="00825BF5"/>
    <w:pPr>
      <w:keepNext/>
      <w:jc w:val="center"/>
      <w:outlineLvl w:val="0"/>
    </w:pPr>
    <w:rPr>
      <w:rFonts w:ascii="Tahoma" w:hAnsi="Tahoma" w:eastAsia="Times New Roman"/>
      <w:b/>
      <w:bCs/>
      <w:sz w:val="22"/>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17662"/>
    <w:pPr>
      <w:tabs>
        <w:tab w:val="center" w:pos="4536"/>
        <w:tab w:val="right" w:pos="9072"/>
      </w:tabs>
    </w:pPr>
  </w:style>
  <w:style w:type="character" w:styleId="ZaglavljeChar" w:customStyle="true">
    <w:name w:val="Zaglavlje Char"/>
    <w:link w:val="Zaglavlje"/>
    <w:uiPriority w:val="99"/>
    <w:rsid w:val="00017662"/>
    <w:rPr>
      <w:rFonts w:ascii="Times New Roman" w:hAnsi="Times New Roman"/>
      <w:sz w:val="24"/>
    </w:rPr>
  </w:style>
  <w:style w:type="paragraph" w:styleId="Podnoje">
    <w:name w:val="footer"/>
    <w:basedOn w:val="Normal"/>
    <w:link w:val="PodnojeChar"/>
    <w:uiPriority w:val="99"/>
    <w:unhideWhenUsed/>
    <w:rsid w:val="00017662"/>
    <w:pPr>
      <w:tabs>
        <w:tab w:val="center" w:pos="4536"/>
        <w:tab w:val="right" w:pos="9072"/>
      </w:tabs>
    </w:pPr>
  </w:style>
  <w:style w:type="character" w:styleId="PodnojeChar" w:customStyle="true">
    <w:name w:val="Podnožje Char"/>
    <w:link w:val="Podnoje"/>
    <w:uiPriority w:val="99"/>
    <w:rsid w:val="00017662"/>
    <w:rPr>
      <w:rFonts w:ascii="Times New Roman" w:hAnsi="Times New Roman"/>
      <w:sz w:val="24"/>
    </w:rPr>
  </w:style>
  <w:style w:type="table" w:styleId="Reetkatablice">
    <w:name w:val="Table Grid"/>
    <w:basedOn w:val="Obinatablica"/>
    <w:uiPriority w:val="59"/>
    <w:rsid w:val="006A1BF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961C5D"/>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61C5D"/>
    <w:rPr>
      <w:rFonts w:ascii="Tahoma" w:hAnsi="Tahoma" w:cs="Tahoma"/>
      <w:sz w:val="16"/>
      <w:szCs w:val="16"/>
      <w:lang w:eastAsia="en-US"/>
    </w:rPr>
  </w:style>
  <w:style w:type="paragraph" w:styleId="Odlomakpopisa">
    <w:name w:val="List Paragraph"/>
    <w:basedOn w:val="Normal"/>
    <w:uiPriority w:val="34"/>
    <w:qFormat/>
    <w:rsid w:val="00536097"/>
    <w:pPr>
      <w:ind w:left="720"/>
      <w:contextualSpacing/>
    </w:pPr>
  </w:style>
  <w:style w:type="character" w:styleId="Naslov1Char" w:customStyle="true">
    <w:name w:val="Naslov 1 Char"/>
    <w:basedOn w:val="Zadanifontodlomka"/>
    <w:link w:val="Naslov1"/>
    <w:rsid w:val="00825BF5"/>
    <w:rPr>
      <w:rFonts w:ascii="Tahoma" w:hAnsi="Tahoma" w:eastAsia="Times New Roman"/>
      <w:b/>
      <w:bCs/>
      <w:sz w:val="22"/>
      <w:szCs w:val="24"/>
    </w:rPr>
  </w:style>
  <w:style w:type="paragraph" w:styleId="Bezproreda">
    <w:name w:val="No Spacing"/>
    <w:uiPriority w:val="1"/>
    <w:qFormat/>
    <w:rsid w:val="00E87935"/>
    <w:pPr>
      <w:jc w:val="both"/>
    </w:pPr>
    <w:rPr>
      <w:rFonts w:ascii="Times New Roman" w:hAnsi="Times New Roman"/>
      <w:sz w:val="24"/>
      <w:szCs w:val="22"/>
      <w:lang w:eastAsia="en-US"/>
    </w:rPr>
  </w:style>
  <w:style w:type="character" w:styleId="Tekstrezerviranogmjesta">
    <w:name w:val="Placeholder Text"/>
    <w:basedOn w:val="Zadanifontodlomka"/>
    <w:uiPriority w:val="99"/>
    <w:semiHidden/>
    <w:rsid w:val="005C30B3"/>
    <w:rPr>
      <w:color w:val="808080"/>
      <w:bdr w:val="none" w:color="auto" w:sz="0" w:space="0"/>
      <w:shd w:val="clear" w:color="auto" w:fill="auto"/>
    </w:rPr>
  </w:style>
  <w:style w:type="character" w:styleId="eSPISCCParagraphDefaultFont" w:customStyle="true">
    <w:name w:val="eSPIS_CC_Paragraph Default Font"/>
    <w:basedOn w:val="Zadanifontodlomka"/>
    <w:rsid w:val="005C30B3"/>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5C30B3"/>
    <w:rPr>
      <w:szCs w:val="24"/>
      <w:bdr w:val="none" w:color="auto" w:sz="0" w:space="0"/>
      <w:shd w:val="clear" w:color="auto" w:fill="FFFFCC"/>
      <w:lang w:val="hr-HR"/>
    </w:rPr>
  </w:style>
  <w:style w:type="character" w:styleId="PozadinaSvijetloCrvena" w:customStyle="true">
    <w:name w:val="Pozadina_SvijetloCrvena"/>
    <w:basedOn w:val="eSPISCCParagraphDefaultFont"/>
    <w:rsid w:val="005C30B3"/>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5C30B3"/>
    <w:rPr>
      <w:rFonts w:ascii="Times New Roman" w:hAnsi="Times New Roman" w:cs="Times New Roman"/>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247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21. listopada 2019.</izvorni_sadrzaj>
    <derivirana_varijabla naziv="DomainObject.DatumDonosenjaOdluke_1">21.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Murić</izvorni_sadrzaj>
    <derivirana_varijabla naziv="DomainObject.DonositeljOdluke.Prezime_1">Murić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studenog 2017.</izvorni_sadrzaj>
    <derivirana_varijabla naziv="DomainObject.Predmet.DatumRjesavanja_1">13.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Sp-20/2016</izvorni_sadrzaj>
    <derivirana_varijabla naziv="DomainObject.Predmet.OznakaBroj_1">Sp-20/2016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Ana-Marija</izvorni_sadrzaj>
    <derivirana_varijabla naziv="DomainObject.Predmet.PredmetRijesio.Ime_1">Ana-Marija</derivirana_varijabla>
  </DomainObject.Predmet.PredmetRijesio.Ime>
  <DomainObject.Predmet.PredmetRijesio.Oib>
    <izvorni_sadrzaj>25816095799</izvorni_sadrzaj>
    <derivirana_varijabla naziv="DomainObject.Predmet.PredmetRijesio.Oib_1">25816095799</derivirana_varijabla>
  </DomainObject.Predmet.PredmetRijesio.Oib>
  <DomainObject.Predmet.PredmetRijesio.Prezime>
    <izvorni_sadrzaj>Murić</izvorni_sadrzaj>
    <derivirana_varijabla naziv="DomainObject.Predmet.PredmetRijesio.Prezime_1">Murić</derivirana_varijabla>
  </DomainObject.Predmet.PredmetRijesio.Prezime>
  <DomainObject.Predmet.PrimjedbaSuca>
    <izvorni_sadrzaj>POD OD 15 03 2018 U REF., IZVJEŠĆE U REF. DANA  11 01 2019   DOPIS OD 18 01 2019 U REF.     dopis  u ref.</izvorni_sadrzaj>
    <derivirana_varijabla naziv="DomainObject.Predmet.PrimjedbaSuca_1">POD OD 15 03 2018 U REF., IZVJEŠĆE U REF. DANA  11 01 2019   DOPIS OD 18 01 2019 U REF.     dopis  u ref.</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Dubravka Sabolčki</izvorni_sadrzaj>
    <derivirana_varijabla naziv="DomainObject.Predmet.StrankaFormated_1">  Dubravka Sabolčki</derivirana_varijabla>
  </DomainObject.Predmet.StrankaFormated>
  <DomainObject.Predmet.StrankaFormatedOIB>
    <izvorni_sadrzaj>  Dubravka Sabolčki, OIB 45399923066</izvorni_sadrzaj>
    <derivirana_varijabla naziv="DomainObject.Predmet.StrankaFormatedOIB_1">  Dubravka Sabolčki, OIB 45399923066</derivirana_varijabla>
  </DomainObject.Predmet.StrankaFormatedOIB>
  <DomainObject.Predmet.StrankaFormatedWithAdress>
    <izvorni_sadrzaj> Dubravka Sabolčki, Slavenska 24, 42000 Varaždin</izvorni_sadrzaj>
    <derivirana_varijabla naziv="DomainObject.Predmet.StrankaFormatedWithAdress_1"> Dubravka Sabolčki, Slavenska 24, 42000 Varaždin</derivirana_varijabla>
  </DomainObject.Predmet.StrankaFormatedWithAdress>
  <DomainObject.Predmet.StrankaFormatedWithAdressOIB>
    <izvorni_sadrzaj> Dubravka Sabolčki, OIB 45399923066, Slavenska 24, 42000 Varaždin</izvorni_sadrzaj>
    <derivirana_varijabla naziv="DomainObject.Predmet.StrankaFormatedWithAdressOIB_1"> Dubravka Sabolčki, OIB 45399923066, Slavenska 24, 42000 Varaždin</derivirana_varijabla>
  </DomainObject.Predmet.StrankaFormatedWithAdressOIB>
  <DomainObject.Predmet.StrankaWithAdress>
    <izvorni_sadrzaj>Dubravka Sabolčki Slavenska 24,42000 Varaždin</izvorni_sadrzaj>
    <derivirana_varijabla naziv="DomainObject.Predmet.StrankaWithAdress_1">Dubravka Sabolčki Slavenska 24,42000 Varaždin</derivirana_varijabla>
  </DomainObject.Predmet.StrankaWithAdress>
  <DomainObject.Predmet.StrankaWithAdressOIB>
    <izvorni_sadrzaj>Dubravka Sabolčki, OIB 45399923066, Slavenska 24,42000 Varaždin</izvorni_sadrzaj>
    <derivirana_varijabla naziv="DomainObject.Predmet.StrankaWithAdressOIB_1">Dubravka Sabolčki, OIB 45399923066, Slavenska 24,42000 Varaždin</derivirana_varijabla>
  </DomainObject.Predmet.StrankaWithAdressOIB>
  <DomainObject.Predmet.StrankaNazivFormated>
    <izvorni_sadrzaj>Dubravka Sabolčki</izvorni_sadrzaj>
    <derivirana_varijabla naziv="DomainObject.Predmet.StrankaNazivFormated_1">Dubravka Sabolčki</derivirana_varijabla>
  </DomainObject.Predmet.StrankaNazivFormated>
  <DomainObject.Predmet.StrankaNazivFormatedOIB>
    <izvorni_sadrzaj>Dubravka Sabolčki, OIB 45399923066</izvorni_sadrzaj>
    <derivirana_varijabla naziv="DomainObject.Predmet.StrankaNazivFormatedOIB_1">Dubravka Sabolčki, OIB 45399923066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Dubravka Sabolčki</item>
    </izvorni_sadrzaj>
    <derivirana_varijabla naziv="DomainObject.Predmet.StrankaListFormated_1">
      <item>Dubravka Sabolčki</item>
    </derivirana_varijabla>
  </DomainObject.Predmet.StrankaListFormated>
  <DomainObject.Predmet.StrankaListFormatedOIB>
    <izvorni_sadrzaj>
      <item>Dubravka Sabolčki, OIB 45399923066</item>
    </izvorni_sadrzaj>
    <derivirana_varijabla naziv="DomainObject.Predmet.StrankaListFormatedOIB_1">
      <item>Dubravka Sabolčki, OIB 45399923066</item>
    </derivirana_varijabla>
  </DomainObject.Predmet.StrankaListFormatedOIB>
  <DomainObject.Predmet.StrankaListFormatedWithAdress>
    <izvorni_sadrzaj>
      <item>Dubravka Sabolčki, Slavenska 24, 42000 Varaždin</item>
    </izvorni_sadrzaj>
    <derivirana_varijabla naziv="DomainObject.Predmet.StrankaListFormatedWithAdress_1">
      <item>Dubravka Sabolčki, Slavenska 24, 42000 Varaždin</item>
    </derivirana_varijabla>
  </DomainObject.Predmet.StrankaListFormatedWithAdress>
  <DomainObject.Predmet.StrankaListFormatedWithAdressOIB>
    <izvorni_sadrzaj>
      <item>Dubravka Sabolčki, OIB 45399923066, Slavenska 24, 42000 Varaždin</item>
    </izvorni_sadrzaj>
    <derivirana_varijabla naziv="DomainObject.Predmet.StrankaListFormatedWithAdressOIB_1">
      <item>Dubravka Sabolčki, OIB 45399923066, Slavenska 24, 42000 Varaždin</item>
    </derivirana_varijabla>
  </DomainObject.Predmet.StrankaListFormatedWithAdressOIB>
  <DomainObject.Predmet.StrankaListNazivFormated>
    <izvorni_sadrzaj>
      <item>Dubravka Sabolčki</item>
    </izvorni_sadrzaj>
    <derivirana_varijabla naziv="DomainObject.Predmet.StrankaListNazivFormated_1">
      <item>Dubravka Sabolčki</item>
    </derivirana_varijabla>
  </DomainObject.Predmet.StrankaListNazivFormated>
  <DomainObject.Predmet.StrankaListNazivFormatedOIB>
    <izvorni_sadrzaj>
      <item>Dubravka Sabolčki, OIB 45399923066</item>
    </izvorni_sadrzaj>
    <derivirana_varijabla naziv="DomainObject.Predmet.StrankaListNazivFormatedOIB_1">
      <item>Dubravka Sabolčki, OIB 45399923066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Predmet.FunkcijaOsobe>
    <izvorni_sadrzaj/>
    <derivirana_varijabla naziv="DomainObject.Predmet.FunkcijaOsobe_1"/>
  </DomainObject.Predmet.FunkcijaOsobe>
  <DomainObject.Datum>
    <izvorni_sadrzaj>21. listopada 2019.</izvorni_sadrzaj>
    <derivirana_varijabla naziv="DomainObject.Datum_1">21. listopada 2019.</derivirana_varijabla>
  </DomainObject.Datum>
  <DomainObject.PoslovniBrojDokumenta>
    <izvorni_sadrzaj/>
    <derivirana_varijabla naziv="DomainObject.PoslovniBrojDokumenta_1"/>
  </DomainObject.PoslovniBrojDokumenta>
  <DomainObject.Predmet.StrankaIDrugi>
    <izvorni_sadrzaj>Dubravka Sabolčki</izvorni_sadrzaj>
    <derivirana_varijabla naziv="DomainObject.Predmet.StrankaIDrugi_1">Dubravka Sabolčki</derivirana_varijabla>
  </DomainObject.Predmet.StrankaIDrugi>
  <DomainObject.Predmet.ProtustrankaIDrugi>
    <izvorni_sadrzaj/>
    <derivirana_varijabla naziv="DomainObject.Predmet.ProtustrankaIDrugi_1"/>
  </DomainObject.Predmet.ProtustrankaIDrugi>
  <DomainObject.Predmet.StrankaIDrugiAdressOIB>
    <izvorni_sadrzaj>Dubravka Sabolčki, OIB 45399923066, Slavenska 24, 42000 Varaždin</izvorni_sadrzaj>
    <derivirana_varijabla naziv="DomainObject.Predmet.StrankaIDrugiAdressOIB_1">Dubravka Sabolčki, OIB 45399923066, Slavenska 24,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studenog 2017.</izvorni_sadrzaj>
    <derivirana_varijabla naziv="DomainObject.Predmet.OdlukaRjesenje.DatumDonosenjaOdluke_1">13. studenog 2017.</derivirana_varijabla>
  </DomainObject.Predmet.OdlukaRjesenje.DatumDonosenjaOdluke>
  <DomainObject.Predmet.OdlukaRjesenje.DatumPravomocnosti>
    <izvorni_sadrzaj>29. studenog 2017.</izvorni_sadrzaj>
    <derivirana_varijabla naziv="DomainObject.Predmet.OdlukaRjesenje.DatumPravomocnosti_1">29. studenog 2017.</derivirana_varijabla>
  </DomainObject.Predmet.OdlukaRjesenje.DatumPravomocnosti>
  <DomainObject.Predmet.OdlukaRjesenje.Oznaka>
    <izvorni_sadrzaj>Sp-20/2016-14</izvorni_sadrzaj>
    <derivirana_varijabla naziv="DomainObject.Predmet.OdlukaRjesenje.Oznaka_1">Sp-20/2016-14</derivirana_varijabla>
  </DomainObject.Predmet.OdlukaRjesenje.Oznaka>
  <DomainObject.Predmet.SudioniciListNaziv>
    <izvorni_sadrzaj>
      <item>Dubravka Sabolčki</item>
    </izvorni_sadrzaj>
    <derivirana_varijabla naziv="DomainObject.Predmet.SudioniciListNaziv_1">
      <item>Dubravka Sabolčki</item>
    </derivirana_varijabla>
  </DomainObject.Predmet.SudioniciListNaziv>
  <DomainObject.Predmet.SudioniciListAdressOIB>
    <izvorni_sadrzaj>
      <item>Dubravka Sabolčki, OIB 45399923066, Slavenska 24,42000 Varaždin</item>
    </izvorni_sadrzaj>
    <derivirana_varijabla naziv="DomainObject.Predmet.SudioniciListAdressOIB_1">
      <item>Dubravka Sabolčki, OIB 45399923066, Slavenska 24,42000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45399923066</item>
    </izvorni_sadrzaj>
    <derivirana_varijabla naziv="DomainObject.Predmet.SudioniciListNazivOIB_1">
      <item>, OIB 45399923066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27. travnja 2018.</izvorni_sadrzaj>
    <derivirana_varijabla naziv="DomainObject.PredzadnjaOdlukaIzPredmeta.DatumDonosenjaOdluke_1">27. travnja 2018.</derivirana_varijabla>
  </DomainObject.PredzadnjaOdlukaIzPredmeta.DatumDonosenjaOdluke>
  <DomainObject.PredzadnjaOdlukaIzPredmeta.Oznaka>
    <izvorni_sadrzaj>Sp-20/2016-24</izvorni_sadrzaj>
    <derivirana_varijabla naziv="DomainObject.PredzadnjaOdlukaIzPredmeta.Oznaka_1">Sp-20/2016-24</derivirana_varijabla>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09FA25-4E01-46CC-9DE1-1DD97DB895CB}">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620</properties:Words>
  <properties:Characters>3506</properties:Characters>
  <properties:Lines>97</properties:Lines>
  <properties:Paragraphs>29</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4341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2019-10-21T10:38:00Z</dcterms:created>
  <dc:creator>Biserka Bajer</dc:creator>
  <cp:lastModifiedBy>Biserka Bajer</cp:lastModifiedBy>
  <cp:lastPrinted>2019-10-21T10:46:00Z</cp:lastPrinted>
  <dcterms:modified xmlns:xsi="http://www.w3.org/2001/XMLSchema-instance" xsi:type="dcterms:W3CDTF">2019-10-21T10:51:00Z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određivanje naknade troškova povjereniku (RJESENJE-TROSAK POVJERENIKA 20-16.docx)</vt:lpwstr>
  </prop:property>
  <prop:property fmtid="{D5CDD505-2E9C-101B-9397-08002B2CF9AE}" pid="4" name="CC_coloring">
    <vt:bool>false</vt:bool>
  </prop:property>
  <prop:property fmtid="{D5CDD505-2E9C-101B-9397-08002B2CF9AE}" pid="5" name="BrojStranica">
    <vt:i4>3</vt:i4>
  </prop:property>
</prop:Properties>
</file>